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974"/>
        <w:gridCol w:w="6974"/>
      </w:tblGrid>
      <w:tr w:rsidR="00F65108" w14:paraId="0176E456" w14:textId="77777777" w:rsidTr="2A0E3254">
        <w:tc>
          <w:tcPr>
            <w:tcW w:w="6974" w:type="dxa"/>
          </w:tcPr>
          <w:p w14:paraId="52DB24D5" w14:textId="6F1418F4" w:rsidR="00AB51D4" w:rsidRDefault="00F65108" w:rsidP="00FC115B">
            <w:pPr>
              <w:textAlignment w:val="baseline"/>
              <w:rPr>
                <w:b/>
                <w:bCs/>
                <w:u w:val="single"/>
              </w:rPr>
            </w:pPr>
            <w:r w:rsidRPr="113FD755">
              <w:rPr>
                <w:b/>
                <w:bCs/>
                <w:u w:val="single"/>
              </w:rPr>
              <w:t xml:space="preserve">What will you see in </w:t>
            </w:r>
            <w:r w:rsidR="3DED729D" w:rsidRPr="113FD755">
              <w:rPr>
                <w:b/>
                <w:bCs/>
                <w:u w:val="single"/>
              </w:rPr>
              <w:t>Year12</w:t>
            </w:r>
            <w:r w:rsidR="006B0295" w:rsidRPr="113FD755">
              <w:rPr>
                <w:b/>
                <w:bCs/>
                <w:u w:val="single"/>
              </w:rPr>
              <w:t xml:space="preserve"> Sport lessons?</w:t>
            </w:r>
          </w:p>
          <w:p w14:paraId="55001B2E" w14:textId="001F94F9" w:rsidR="00F36C29" w:rsidRDefault="00F36C29" w:rsidP="00FC115B">
            <w:pPr>
              <w:textAlignment w:val="baseline"/>
              <w:rPr>
                <w:b/>
                <w:bCs/>
                <w:u w:val="single"/>
              </w:rPr>
            </w:pPr>
          </w:p>
          <w:p w14:paraId="6E0EECD9" w14:textId="77777777" w:rsidR="008C63B1" w:rsidRDefault="008C63B1" w:rsidP="2A0E3254">
            <w:pPr>
              <w:textAlignment w:val="baseline"/>
              <w:rPr>
                <w:b/>
                <w:bCs/>
                <w:color w:val="FF0000"/>
                <w:u w:val="single"/>
              </w:rPr>
            </w:pPr>
            <w:r w:rsidRPr="2A0E3254">
              <w:rPr>
                <w:b/>
                <w:bCs/>
                <w:color w:val="FF0000"/>
                <w:u w:val="single"/>
              </w:rPr>
              <w:t xml:space="preserve">Unit 1 </w:t>
            </w:r>
          </w:p>
          <w:p w14:paraId="757F75DF" w14:textId="0F8EF1FE" w:rsidR="008C63B1" w:rsidRDefault="6D509510" w:rsidP="00FC115B">
            <w:pPr>
              <w:textAlignment w:val="baseline"/>
            </w:pPr>
            <w:r>
              <w:t xml:space="preserve">Unit 1 delivers a range of body systems with an interactive approach. This involves using technology and resources to approach the body systems and apply to physical activity with sporting context and examples. The lessons are structured with time for student independent work in addition to a range of assessment methods. </w:t>
            </w:r>
          </w:p>
          <w:p w14:paraId="026D8125" w14:textId="77777777" w:rsidR="008C63B1" w:rsidRDefault="008C63B1" w:rsidP="00FC115B">
            <w:pPr>
              <w:textAlignment w:val="baseline"/>
            </w:pPr>
          </w:p>
          <w:p w14:paraId="3A7FCD70" w14:textId="48A73E80" w:rsidR="00FC115B" w:rsidRPr="00FC115B" w:rsidRDefault="008C63B1" w:rsidP="2A0E3254">
            <w:pPr>
              <w:textAlignment w:val="baseline"/>
              <w:rPr>
                <w:color w:val="4472C4" w:themeColor="accent1"/>
              </w:rPr>
            </w:pPr>
            <w:r w:rsidRPr="2A0E3254">
              <w:rPr>
                <w:b/>
                <w:bCs/>
                <w:color w:val="4472C4" w:themeColor="accent1"/>
                <w:u w:val="single"/>
              </w:rPr>
              <w:t>Unit 2</w:t>
            </w:r>
            <w:r w:rsidRPr="2A0E3254">
              <w:rPr>
                <w:color w:val="4472C4" w:themeColor="accent1"/>
              </w:rPr>
              <w:t xml:space="preserve"> </w:t>
            </w:r>
            <w:r w:rsidR="00FC115B" w:rsidRPr="2A0E3254">
              <w:rPr>
                <w:color w:val="4472C4" w:themeColor="accent1"/>
              </w:rPr>
              <w:t>​</w:t>
            </w:r>
          </w:p>
          <w:p w14:paraId="78C68FE7" w14:textId="7A9D875B" w:rsidR="00F86353" w:rsidRPr="00FC115B" w:rsidRDefault="43EB8E5C" w:rsidP="46554ED3">
            <w:pPr>
              <w:textAlignment w:val="baseline"/>
            </w:pPr>
            <w:r>
              <w:t>Depending on the time of year you may see theory lessons, teacher led practical lessons or students led practical lessons. Each will be working towards a specific learning outcome on the journey of Unit 2 across year 12.</w:t>
            </w:r>
          </w:p>
          <w:p w14:paraId="6BE84C63" w14:textId="2FA9183B" w:rsidR="00F86353" w:rsidRPr="00FC115B" w:rsidRDefault="00F86353" w:rsidP="46554ED3">
            <w:pPr>
              <w:textAlignment w:val="baseline"/>
            </w:pPr>
          </w:p>
        </w:tc>
        <w:tc>
          <w:tcPr>
            <w:tcW w:w="6974" w:type="dxa"/>
          </w:tcPr>
          <w:p w14:paraId="47F0309E" w14:textId="01277A9E" w:rsidR="00DE679A" w:rsidRDefault="00F65108">
            <w:pPr>
              <w:rPr>
                <w:b/>
                <w:bCs/>
                <w:u w:val="single"/>
              </w:rPr>
            </w:pPr>
            <w:r w:rsidRPr="113FD755">
              <w:rPr>
                <w:b/>
                <w:bCs/>
                <w:u w:val="single"/>
              </w:rPr>
              <w:t>What will you se</w:t>
            </w:r>
            <w:r w:rsidR="006B0295" w:rsidRPr="113FD755">
              <w:rPr>
                <w:b/>
                <w:bCs/>
                <w:u w:val="single"/>
              </w:rPr>
              <w:t xml:space="preserve">e in students </w:t>
            </w:r>
            <w:r w:rsidR="67C0079D" w:rsidRPr="113FD755">
              <w:rPr>
                <w:b/>
                <w:bCs/>
                <w:u w:val="single"/>
              </w:rPr>
              <w:t>Year 12</w:t>
            </w:r>
            <w:r w:rsidR="006B0295" w:rsidRPr="113FD755">
              <w:rPr>
                <w:b/>
                <w:bCs/>
                <w:u w:val="single"/>
              </w:rPr>
              <w:t xml:space="preserve"> Sport folders or books</w:t>
            </w:r>
            <w:r w:rsidR="00524D4B" w:rsidRPr="113FD755">
              <w:rPr>
                <w:b/>
                <w:bCs/>
                <w:u w:val="single"/>
              </w:rPr>
              <w:t>?</w:t>
            </w:r>
          </w:p>
          <w:p w14:paraId="768F0C1E" w14:textId="3D210213" w:rsidR="002F2B1A" w:rsidRDefault="002F2B1A" w:rsidP="002F2B1A">
            <w:pPr>
              <w:textAlignment w:val="baseline"/>
              <w:rPr>
                <w:b/>
                <w:bCs/>
                <w:u w:val="single"/>
              </w:rPr>
            </w:pPr>
          </w:p>
          <w:p w14:paraId="7146914C" w14:textId="77777777" w:rsidR="008C63B1" w:rsidRDefault="008C63B1" w:rsidP="2A0E3254">
            <w:pPr>
              <w:textAlignment w:val="baseline"/>
              <w:rPr>
                <w:b/>
                <w:bCs/>
                <w:color w:val="FF0000"/>
                <w:u w:val="single"/>
              </w:rPr>
            </w:pPr>
            <w:r w:rsidRPr="2A0E3254">
              <w:rPr>
                <w:b/>
                <w:bCs/>
                <w:color w:val="FF0000"/>
                <w:u w:val="single"/>
              </w:rPr>
              <w:t xml:space="preserve">Unit 1 </w:t>
            </w:r>
          </w:p>
          <w:p w14:paraId="3B411203" w14:textId="38C20730" w:rsidR="008C63B1" w:rsidRDefault="1C8050F7" w:rsidP="008C63B1">
            <w:pPr>
              <w:textAlignment w:val="baseline"/>
            </w:pPr>
            <w:r>
              <w:t xml:space="preserve">Unit 1 folders are organised into each LO for the unit, separated with checklists for each of the topics and content from the lessons including students notes and teacher prepared resources to support learning. </w:t>
            </w:r>
          </w:p>
          <w:p w14:paraId="64EDCE4E" w14:textId="11EB5F71" w:rsidR="008C63B1" w:rsidRDefault="008C63B1" w:rsidP="09B32074">
            <w:pPr>
              <w:textAlignment w:val="baseline"/>
            </w:pPr>
          </w:p>
          <w:p w14:paraId="12107CCD" w14:textId="77777777" w:rsidR="008C63B1" w:rsidRPr="00FC115B" w:rsidRDefault="008C63B1" w:rsidP="2A0E3254">
            <w:pPr>
              <w:textAlignment w:val="baseline"/>
              <w:rPr>
                <w:color w:val="4472C4" w:themeColor="accent1"/>
              </w:rPr>
            </w:pPr>
            <w:r w:rsidRPr="2A0E3254">
              <w:rPr>
                <w:b/>
                <w:bCs/>
                <w:color w:val="4472C4" w:themeColor="accent1"/>
                <w:u w:val="single"/>
              </w:rPr>
              <w:t>Unit 2</w:t>
            </w:r>
            <w:r w:rsidRPr="2A0E3254">
              <w:rPr>
                <w:color w:val="4472C4" w:themeColor="accent1"/>
              </w:rPr>
              <w:t xml:space="preserve"> ​</w:t>
            </w:r>
          </w:p>
          <w:p w14:paraId="49C764E8" w14:textId="4B924F49" w:rsidR="00DE679A" w:rsidRPr="00DE679A" w:rsidRDefault="757CCEF2" w:rsidP="00FC115B">
            <w:r>
              <w:t>Unit 2 folders are organised as per each learning outcome. Written coursework tasks are marked and returned to students to keep as evidence of meeting each grading criteria.</w:t>
            </w:r>
            <w:r w:rsidR="7F975BC3">
              <w:t xml:space="preserve"> You will see written essay style work alongside documents such as session plans and risk assessments. </w:t>
            </w:r>
            <w:r>
              <w:t xml:space="preserve"> Depending on the time of year you will </w:t>
            </w:r>
            <w:r w:rsidR="406AAECA">
              <w:t>also see teacher written witness statements to support practical tasks.</w:t>
            </w:r>
          </w:p>
        </w:tc>
      </w:tr>
      <w:tr w:rsidR="00F65108" w14:paraId="6F5B945C" w14:textId="77777777" w:rsidTr="2A0E3254">
        <w:tc>
          <w:tcPr>
            <w:tcW w:w="6974" w:type="dxa"/>
          </w:tcPr>
          <w:p w14:paraId="3039F9FB" w14:textId="73D16AAA" w:rsidR="002F2B1A" w:rsidRDefault="000C6E9B" w:rsidP="002F2B1A">
            <w:pPr>
              <w:textAlignment w:val="baseline"/>
              <w:rPr>
                <w:b/>
                <w:bCs/>
                <w:u w:val="single"/>
              </w:rPr>
            </w:pPr>
            <w:r w:rsidRPr="113FD755">
              <w:rPr>
                <w:b/>
                <w:bCs/>
                <w:u w:val="single"/>
              </w:rPr>
              <w:t xml:space="preserve">What formative assessment will you see in </w:t>
            </w:r>
            <w:r w:rsidR="49424273" w:rsidRPr="113FD755">
              <w:rPr>
                <w:b/>
                <w:bCs/>
                <w:u w:val="single"/>
              </w:rPr>
              <w:t>Year 12</w:t>
            </w:r>
            <w:r w:rsidR="006B0295" w:rsidRPr="113FD755">
              <w:rPr>
                <w:b/>
                <w:bCs/>
                <w:u w:val="single"/>
              </w:rPr>
              <w:t xml:space="preserve"> S</w:t>
            </w:r>
            <w:r w:rsidRPr="113FD755">
              <w:rPr>
                <w:b/>
                <w:bCs/>
                <w:u w:val="single"/>
              </w:rPr>
              <w:t>port?</w:t>
            </w:r>
          </w:p>
          <w:p w14:paraId="3C7697A8" w14:textId="77777777" w:rsidR="008C63B1" w:rsidRDefault="008C63B1" w:rsidP="2A0E3254">
            <w:pPr>
              <w:textAlignment w:val="baseline"/>
              <w:rPr>
                <w:b/>
                <w:bCs/>
                <w:color w:val="FF0000"/>
                <w:u w:val="single"/>
              </w:rPr>
            </w:pPr>
            <w:r w:rsidRPr="2A0E3254">
              <w:rPr>
                <w:b/>
                <w:bCs/>
                <w:color w:val="FF0000"/>
                <w:u w:val="single"/>
              </w:rPr>
              <w:t xml:space="preserve">Unit 1 </w:t>
            </w:r>
          </w:p>
          <w:p w14:paraId="4CC1D673" w14:textId="5821CA49" w:rsidR="008C63B1" w:rsidRDefault="40D70EC7" w:rsidP="008C63B1">
            <w:pPr>
              <w:textAlignment w:val="baseline"/>
            </w:pPr>
            <w:r>
              <w:t>In Unit 1 there is a range of formative assessment methods including practice exam questions, knowledge quizzes and application of knowledge tasks. Each unit has 3 sets of exam questions, including self-assess</w:t>
            </w:r>
            <w:r w:rsidR="7FD1F6C7">
              <w:t xml:space="preserve">ment, peer-assessment and teacher assessed which are in addition to the assessment used in lesson teaching strategies. </w:t>
            </w:r>
          </w:p>
          <w:p w14:paraId="434CDF3B" w14:textId="77777777" w:rsidR="008C63B1" w:rsidRDefault="008C63B1" w:rsidP="2A0E3254">
            <w:pPr>
              <w:textAlignment w:val="baseline"/>
              <w:rPr>
                <w:color w:val="4472C4" w:themeColor="accent1"/>
              </w:rPr>
            </w:pPr>
          </w:p>
          <w:p w14:paraId="771CB206" w14:textId="77777777" w:rsidR="008C63B1" w:rsidRPr="00FC115B" w:rsidRDefault="008C63B1" w:rsidP="2A0E3254">
            <w:pPr>
              <w:textAlignment w:val="baseline"/>
              <w:rPr>
                <w:color w:val="4472C4" w:themeColor="accent1"/>
              </w:rPr>
            </w:pPr>
            <w:r w:rsidRPr="2A0E3254">
              <w:rPr>
                <w:b/>
                <w:bCs/>
                <w:color w:val="4472C4" w:themeColor="accent1"/>
                <w:u w:val="single"/>
              </w:rPr>
              <w:t>Unit 2</w:t>
            </w:r>
            <w:r w:rsidRPr="2A0E3254">
              <w:rPr>
                <w:color w:val="4472C4" w:themeColor="accent1"/>
              </w:rPr>
              <w:t xml:space="preserve"> ​</w:t>
            </w:r>
          </w:p>
          <w:p w14:paraId="5E013FD5" w14:textId="5462C833" w:rsidR="00F86353" w:rsidRDefault="7EE012C6">
            <w:r>
              <w:t xml:space="preserve">Over the unit, in lessons, you will see a range of formative assessment methods ranging from self/peer assessment tasks, group presentations, low stakes quizzes, exit tickets </w:t>
            </w:r>
            <w:r w:rsidR="24F302AC">
              <w:t>which link to the current LO they are studying. There are also practical assessments where reflective conversations happen after the lessons to help guide and develop the students practice in leading sports sessions.</w:t>
            </w:r>
          </w:p>
          <w:p w14:paraId="492278BB" w14:textId="7BD60EC3" w:rsidR="00F86353" w:rsidRDefault="00F86353"/>
        </w:tc>
        <w:tc>
          <w:tcPr>
            <w:tcW w:w="6974" w:type="dxa"/>
          </w:tcPr>
          <w:p w14:paraId="53EDAE34" w14:textId="64CD55E2" w:rsidR="00F65108" w:rsidRDefault="00F65108">
            <w:pPr>
              <w:rPr>
                <w:b/>
                <w:bCs/>
                <w:u w:val="single"/>
              </w:rPr>
            </w:pPr>
            <w:r w:rsidRPr="00A65339">
              <w:rPr>
                <w:b/>
                <w:bCs/>
                <w:u w:val="single"/>
              </w:rPr>
              <w:t>What is the department currently reading and discussing, and why?</w:t>
            </w:r>
          </w:p>
          <w:p w14:paraId="3464AD52" w14:textId="77777777" w:rsidR="00EF13F0" w:rsidRPr="00A65339" w:rsidRDefault="00EF13F0">
            <w:pPr>
              <w:rPr>
                <w:b/>
                <w:bCs/>
                <w:u w:val="single"/>
              </w:rPr>
            </w:pPr>
          </w:p>
          <w:p w14:paraId="7238BEFE" w14:textId="683173A7" w:rsidR="00A65339" w:rsidRPr="00CD1760" w:rsidRDefault="00F65108">
            <w:pPr>
              <w:rPr>
                <w:b/>
                <w:bCs/>
              </w:rPr>
            </w:pPr>
            <w:r w:rsidRPr="00CD1760">
              <w:rPr>
                <w:b/>
                <w:bCs/>
              </w:rPr>
              <w:t>What we are currently reading</w:t>
            </w:r>
          </w:p>
          <w:p w14:paraId="1F5FB129" w14:textId="18B8C5B2" w:rsidR="00F86353" w:rsidRDefault="6CF7D4D3" w:rsidP="10DBD637">
            <w:r>
              <w:t>Matthew Syed – Bounce. The Myth of Talent and the Power of Practice.</w:t>
            </w:r>
          </w:p>
          <w:p w14:paraId="137C5A12" w14:textId="77777777" w:rsidR="00F86353" w:rsidRDefault="00F86353" w:rsidP="00F86353"/>
          <w:p w14:paraId="36638FBF" w14:textId="4C2EC4BB" w:rsidR="00A65339" w:rsidRPr="00CD1760" w:rsidRDefault="00F65108">
            <w:pPr>
              <w:rPr>
                <w:b/>
                <w:bCs/>
              </w:rPr>
            </w:pPr>
            <w:r w:rsidRPr="00CD1760">
              <w:rPr>
                <w:b/>
                <w:bCs/>
              </w:rPr>
              <w:t>Why?</w:t>
            </w:r>
          </w:p>
          <w:p w14:paraId="4A7E6E55" w14:textId="7307C56B" w:rsidR="00CD1760" w:rsidRDefault="3A9FEC5F" w:rsidP="00F86353">
            <w:r>
              <w:t>This book about the power of practice, 10000 hours to master anything, the theory of focusing on important and relevant tasks that actually improve practice/outcomes, the myth of</w:t>
            </w:r>
            <w:r w:rsidR="49378456">
              <w:t xml:space="preserve"> talent is an important piece of literature to smash the concept of “we’re just born with it.”</w:t>
            </w:r>
          </w:p>
        </w:tc>
      </w:tr>
    </w:tbl>
    <w:p w14:paraId="59119074" w14:textId="77777777" w:rsidR="00F65108" w:rsidRDefault="00F65108"/>
    <w:sectPr w:rsidR="00F65108" w:rsidSect="00F65108">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6853" w14:textId="77777777" w:rsidR="00792DEA" w:rsidRDefault="00792DEA" w:rsidP="001D22AC">
      <w:pPr>
        <w:spacing w:after="0" w:line="240" w:lineRule="auto"/>
      </w:pPr>
      <w:r>
        <w:separator/>
      </w:r>
    </w:p>
  </w:endnote>
  <w:endnote w:type="continuationSeparator" w:id="0">
    <w:p w14:paraId="1376D852" w14:textId="77777777" w:rsidR="00792DEA" w:rsidRDefault="00792DEA" w:rsidP="001D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135E" w14:textId="77777777" w:rsidR="00792DEA" w:rsidRDefault="00792DEA" w:rsidP="001D22AC">
      <w:pPr>
        <w:spacing w:after="0" w:line="240" w:lineRule="auto"/>
      </w:pPr>
      <w:r>
        <w:separator/>
      </w:r>
    </w:p>
  </w:footnote>
  <w:footnote w:type="continuationSeparator" w:id="0">
    <w:p w14:paraId="08C92CDB" w14:textId="77777777" w:rsidR="00792DEA" w:rsidRDefault="00792DEA" w:rsidP="001D2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24F8" w14:textId="2250B0B4" w:rsidR="001D22AC" w:rsidRPr="001D22AC" w:rsidRDefault="001D22AC" w:rsidP="001D22AC">
    <w:pPr>
      <w:jc w:val="center"/>
      <w:rPr>
        <w:b/>
        <w:bCs/>
        <w:sz w:val="24"/>
        <w:szCs w:val="24"/>
        <w:u w:val="single"/>
      </w:rPr>
    </w:pPr>
    <w:r w:rsidRPr="001D22AC">
      <w:rPr>
        <w:b/>
        <w:bCs/>
        <w:sz w:val="24"/>
        <w:szCs w:val="24"/>
        <w:u w:val="single"/>
      </w:rPr>
      <w:t xml:space="preserve">Translating the subject: </w:t>
    </w:r>
    <w:proofErr w:type="spellStart"/>
    <w:r w:rsidR="00381287">
      <w:rPr>
        <w:b/>
        <w:bCs/>
        <w:sz w:val="24"/>
        <w:szCs w:val="24"/>
        <w:u w:val="single"/>
      </w:rPr>
      <w:t>Yr</w:t>
    </w:r>
    <w:proofErr w:type="spellEnd"/>
    <w:r w:rsidR="00381287">
      <w:rPr>
        <w:b/>
        <w:bCs/>
        <w:sz w:val="24"/>
        <w:szCs w:val="24"/>
        <w:u w:val="single"/>
      </w:rPr>
      <w:t xml:space="preserve"> 12 Sport and Physical Activity</w:t>
    </w:r>
  </w:p>
  <w:p w14:paraId="21B9D04C" w14:textId="77777777" w:rsidR="001D22AC" w:rsidRDefault="001D2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97C"/>
    <w:multiLevelType w:val="hybridMultilevel"/>
    <w:tmpl w:val="7B5CF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C2C13"/>
    <w:multiLevelType w:val="hybridMultilevel"/>
    <w:tmpl w:val="2BD29F6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AEA5D86"/>
    <w:multiLevelType w:val="hybridMultilevel"/>
    <w:tmpl w:val="4FA28E1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74027D1"/>
    <w:multiLevelType w:val="hybridMultilevel"/>
    <w:tmpl w:val="2BEEB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08"/>
    <w:rsid w:val="00005156"/>
    <w:rsid w:val="000C6E9B"/>
    <w:rsid w:val="001D22AC"/>
    <w:rsid w:val="00242BC4"/>
    <w:rsid w:val="002F2B1A"/>
    <w:rsid w:val="00381287"/>
    <w:rsid w:val="00524D4B"/>
    <w:rsid w:val="00547544"/>
    <w:rsid w:val="005514A1"/>
    <w:rsid w:val="006B0295"/>
    <w:rsid w:val="00792DEA"/>
    <w:rsid w:val="008C63B1"/>
    <w:rsid w:val="009B04CF"/>
    <w:rsid w:val="00A65339"/>
    <w:rsid w:val="00AB51D4"/>
    <w:rsid w:val="00BB68C5"/>
    <w:rsid w:val="00CD1760"/>
    <w:rsid w:val="00D248E3"/>
    <w:rsid w:val="00DE679A"/>
    <w:rsid w:val="00EF13F0"/>
    <w:rsid w:val="00F36C29"/>
    <w:rsid w:val="00F65108"/>
    <w:rsid w:val="00F86353"/>
    <w:rsid w:val="00FC115B"/>
    <w:rsid w:val="01534C1A"/>
    <w:rsid w:val="0203470E"/>
    <w:rsid w:val="0920BD1E"/>
    <w:rsid w:val="09B32074"/>
    <w:rsid w:val="0D9ABC2A"/>
    <w:rsid w:val="10DBD637"/>
    <w:rsid w:val="113FD755"/>
    <w:rsid w:val="1A1A7527"/>
    <w:rsid w:val="1C8050F7"/>
    <w:rsid w:val="24F302AC"/>
    <w:rsid w:val="2A0E3254"/>
    <w:rsid w:val="30244658"/>
    <w:rsid w:val="35723F75"/>
    <w:rsid w:val="3A9FEC5F"/>
    <w:rsid w:val="3DED729D"/>
    <w:rsid w:val="406AAECA"/>
    <w:rsid w:val="40D70EC7"/>
    <w:rsid w:val="42C0D8CB"/>
    <w:rsid w:val="4368FDF4"/>
    <w:rsid w:val="43EB8E5C"/>
    <w:rsid w:val="464E3C95"/>
    <w:rsid w:val="46554ED3"/>
    <w:rsid w:val="49378456"/>
    <w:rsid w:val="49424273"/>
    <w:rsid w:val="4A2D01ED"/>
    <w:rsid w:val="51A5B07C"/>
    <w:rsid w:val="53434745"/>
    <w:rsid w:val="58E96578"/>
    <w:rsid w:val="67C0079D"/>
    <w:rsid w:val="6B464707"/>
    <w:rsid w:val="6CF7D4D3"/>
    <w:rsid w:val="6D509510"/>
    <w:rsid w:val="6F1B7FCD"/>
    <w:rsid w:val="73063BDA"/>
    <w:rsid w:val="74897B56"/>
    <w:rsid w:val="757CCEF2"/>
    <w:rsid w:val="76254BB7"/>
    <w:rsid w:val="7BE36556"/>
    <w:rsid w:val="7EE012C6"/>
    <w:rsid w:val="7F975BC3"/>
    <w:rsid w:val="7FD1F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7FAC"/>
  <w15:chartTrackingRefBased/>
  <w15:docId w15:val="{C4A20B8E-47C3-406B-BFCE-1ADC1A7A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339"/>
    <w:pPr>
      <w:ind w:left="720"/>
      <w:contextualSpacing/>
    </w:pPr>
  </w:style>
  <w:style w:type="character" w:customStyle="1" w:styleId="normaltextrun">
    <w:name w:val="normaltextrun"/>
    <w:basedOn w:val="DefaultParagraphFont"/>
    <w:rsid w:val="00AB51D4"/>
  </w:style>
  <w:style w:type="character" w:customStyle="1" w:styleId="contextualspellingandgrammarerror">
    <w:name w:val="contextualspellingandgrammarerror"/>
    <w:basedOn w:val="DefaultParagraphFont"/>
    <w:rsid w:val="00AB51D4"/>
  </w:style>
  <w:style w:type="paragraph" w:customStyle="1" w:styleId="paragraph">
    <w:name w:val="paragraph"/>
    <w:basedOn w:val="Normal"/>
    <w:rsid w:val="00AB51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B51D4"/>
  </w:style>
  <w:style w:type="character" w:customStyle="1" w:styleId="spellingerror">
    <w:name w:val="spellingerror"/>
    <w:basedOn w:val="DefaultParagraphFont"/>
    <w:rsid w:val="00AB51D4"/>
  </w:style>
  <w:style w:type="paragraph" w:styleId="Header">
    <w:name w:val="header"/>
    <w:basedOn w:val="Normal"/>
    <w:link w:val="HeaderChar"/>
    <w:uiPriority w:val="99"/>
    <w:unhideWhenUsed/>
    <w:rsid w:val="001D2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2AC"/>
  </w:style>
  <w:style w:type="paragraph" w:styleId="Footer">
    <w:name w:val="footer"/>
    <w:basedOn w:val="Normal"/>
    <w:link w:val="FooterChar"/>
    <w:uiPriority w:val="99"/>
    <w:unhideWhenUsed/>
    <w:rsid w:val="001D2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88488">
      <w:bodyDiv w:val="1"/>
      <w:marLeft w:val="0"/>
      <w:marRight w:val="0"/>
      <w:marTop w:val="0"/>
      <w:marBottom w:val="0"/>
      <w:divBdr>
        <w:top w:val="none" w:sz="0" w:space="0" w:color="auto"/>
        <w:left w:val="none" w:sz="0" w:space="0" w:color="auto"/>
        <w:bottom w:val="none" w:sz="0" w:space="0" w:color="auto"/>
        <w:right w:val="none" w:sz="0" w:space="0" w:color="auto"/>
      </w:divBdr>
      <w:divsChild>
        <w:div w:id="56251446">
          <w:marLeft w:val="0"/>
          <w:marRight w:val="0"/>
          <w:marTop w:val="0"/>
          <w:marBottom w:val="0"/>
          <w:divBdr>
            <w:top w:val="none" w:sz="0" w:space="0" w:color="auto"/>
            <w:left w:val="none" w:sz="0" w:space="0" w:color="auto"/>
            <w:bottom w:val="none" w:sz="0" w:space="0" w:color="auto"/>
            <w:right w:val="none" w:sz="0" w:space="0" w:color="auto"/>
          </w:divBdr>
        </w:div>
        <w:div w:id="1259367655">
          <w:marLeft w:val="0"/>
          <w:marRight w:val="0"/>
          <w:marTop w:val="0"/>
          <w:marBottom w:val="0"/>
          <w:divBdr>
            <w:top w:val="none" w:sz="0" w:space="0" w:color="auto"/>
            <w:left w:val="none" w:sz="0" w:space="0" w:color="auto"/>
            <w:bottom w:val="none" w:sz="0" w:space="0" w:color="auto"/>
            <w:right w:val="none" w:sz="0" w:space="0" w:color="auto"/>
          </w:divBdr>
        </w:div>
        <w:div w:id="1517011">
          <w:marLeft w:val="0"/>
          <w:marRight w:val="0"/>
          <w:marTop w:val="0"/>
          <w:marBottom w:val="0"/>
          <w:divBdr>
            <w:top w:val="none" w:sz="0" w:space="0" w:color="auto"/>
            <w:left w:val="none" w:sz="0" w:space="0" w:color="auto"/>
            <w:bottom w:val="none" w:sz="0" w:space="0" w:color="auto"/>
            <w:right w:val="none" w:sz="0" w:space="0" w:color="auto"/>
          </w:divBdr>
        </w:div>
        <w:div w:id="382213554">
          <w:marLeft w:val="0"/>
          <w:marRight w:val="0"/>
          <w:marTop w:val="0"/>
          <w:marBottom w:val="0"/>
          <w:divBdr>
            <w:top w:val="none" w:sz="0" w:space="0" w:color="auto"/>
            <w:left w:val="none" w:sz="0" w:space="0" w:color="auto"/>
            <w:bottom w:val="none" w:sz="0" w:space="0" w:color="auto"/>
            <w:right w:val="none" w:sz="0" w:space="0" w:color="auto"/>
          </w:divBdr>
        </w:div>
        <w:div w:id="921642103">
          <w:marLeft w:val="0"/>
          <w:marRight w:val="0"/>
          <w:marTop w:val="0"/>
          <w:marBottom w:val="0"/>
          <w:divBdr>
            <w:top w:val="none" w:sz="0" w:space="0" w:color="auto"/>
            <w:left w:val="none" w:sz="0" w:space="0" w:color="auto"/>
            <w:bottom w:val="none" w:sz="0" w:space="0" w:color="auto"/>
            <w:right w:val="none" w:sz="0" w:space="0" w:color="auto"/>
          </w:divBdr>
        </w:div>
        <w:div w:id="1968732535">
          <w:marLeft w:val="0"/>
          <w:marRight w:val="0"/>
          <w:marTop w:val="0"/>
          <w:marBottom w:val="0"/>
          <w:divBdr>
            <w:top w:val="none" w:sz="0" w:space="0" w:color="auto"/>
            <w:left w:val="none" w:sz="0" w:space="0" w:color="auto"/>
            <w:bottom w:val="none" w:sz="0" w:space="0" w:color="auto"/>
            <w:right w:val="none" w:sz="0" w:space="0" w:color="auto"/>
          </w:divBdr>
        </w:div>
        <w:div w:id="1795251914">
          <w:marLeft w:val="0"/>
          <w:marRight w:val="0"/>
          <w:marTop w:val="0"/>
          <w:marBottom w:val="0"/>
          <w:divBdr>
            <w:top w:val="none" w:sz="0" w:space="0" w:color="auto"/>
            <w:left w:val="none" w:sz="0" w:space="0" w:color="auto"/>
            <w:bottom w:val="none" w:sz="0" w:space="0" w:color="auto"/>
            <w:right w:val="none" w:sz="0" w:space="0" w:color="auto"/>
          </w:divBdr>
        </w:div>
        <w:div w:id="251865294">
          <w:marLeft w:val="0"/>
          <w:marRight w:val="0"/>
          <w:marTop w:val="0"/>
          <w:marBottom w:val="0"/>
          <w:divBdr>
            <w:top w:val="none" w:sz="0" w:space="0" w:color="auto"/>
            <w:left w:val="none" w:sz="0" w:space="0" w:color="auto"/>
            <w:bottom w:val="none" w:sz="0" w:space="0" w:color="auto"/>
            <w:right w:val="none" w:sz="0" w:space="0" w:color="auto"/>
          </w:divBdr>
        </w:div>
        <w:div w:id="1884751208">
          <w:marLeft w:val="0"/>
          <w:marRight w:val="0"/>
          <w:marTop w:val="0"/>
          <w:marBottom w:val="0"/>
          <w:divBdr>
            <w:top w:val="none" w:sz="0" w:space="0" w:color="auto"/>
            <w:left w:val="none" w:sz="0" w:space="0" w:color="auto"/>
            <w:bottom w:val="none" w:sz="0" w:space="0" w:color="auto"/>
            <w:right w:val="none" w:sz="0" w:space="0" w:color="auto"/>
          </w:divBdr>
        </w:div>
        <w:div w:id="1753744856">
          <w:marLeft w:val="0"/>
          <w:marRight w:val="0"/>
          <w:marTop w:val="0"/>
          <w:marBottom w:val="0"/>
          <w:divBdr>
            <w:top w:val="none" w:sz="0" w:space="0" w:color="auto"/>
            <w:left w:val="none" w:sz="0" w:space="0" w:color="auto"/>
            <w:bottom w:val="none" w:sz="0" w:space="0" w:color="auto"/>
            <w:right w:val="none" w:sz="0" w:space="0" w:color="auto"/>
          </w:divBdr>
        </w:div>
        <w:div w:id="891580830">
          <w:marLeft w:val="0"/>
          <w:marRight w:val="0"/>
          <w:marTop w:val="0"/>
          <w:marBottom w:val="0"/>
          <w:divBdr>
            <w:top w:val="none" w:sz="0" w:space="0" w:color="auto"/>
            <w:left w:val="none" w:sz="0" w:space="0" w:color="auto"/>
            <w:bottom w:val="none" w:sz="0" w:space="0" w:color="auto"/>
            <w:right w:val="none" w:sz="0" w:space="0" w:color="auto"/>
          </w:divBdr>
        </w:div>
        <w:div w:id="1468090594">
          <w:marLeft w:val="0"/>
          <w:marRight w:val="0"/>
          <w:marTop w:val="0"/>
          <w:marBottom w:val="0"/>
          <w:divBdr>
            <w:top w:val="none" w:sz="0" w:space="0" w:color="auto"/>
            <w:left w:val="none" w:sz="0" w:space="0" w:color="auto"/>
            <w:bottom w:val="none" w:sz="0" w:space="0" w:color="auto"/>
            <w:right w:val="none" w:sz="0" w:space="0" w:color="auto"/>
          </w:divBdr>
        </w:div>
        <w:div w:id="525025771">
          <w:marLeft w:val="0"/>
          <w:marRight w:val="0"/>
          <w:marTop w:val="0"/>
          <w:marBottom w:val="0"/>
          <w:divBdr>
            <w:top w:val="none" w:sz="0" w:space="0" w:color="auto"/>
            <w:left w:val="none" w:sz="0" w:space="0" w:color="auto"/>
            <w:bottom w:val="none" w:sz="0" w:space="0" w:color="auto"/>
            <w:right w:val="none" w:sz="0" w:space="0" w:color="auto"/>
          </w:divBdr>
        </w:div>
        <w:div w:id="1595170266">
          <w:marLeft w:val="0"/>
          <w:marRight w:val="0"/>
          <w:marTop w:val="0"/>
          <w:marBottom w:val="0"/>
          <w:divBdr>
            <w:top w:val="none" w:sz="0" w:space="0" w:color="auto"/>
            <w:left w:val="none" w:sz="0" w:space="0" w:color="auto"/>
            <w:bottom w:val="none" w:sz="0" w:space="0" w:color="auto"/>
            <w:right w:val="none" w:sz="0" w:space="0" w:color="auto"/>
          </w:divBdr>
        </w:div>
        <w:div w:id="351565538">
          <w:marLeft w:val="0"/>
          <w:marRight w:val="0"/>
          <w:marTop w:val="0"/>
          <w:marBottom w:val="0"/>
          <w:divBdr>
            <w:top w:val="none" w:sz="0" w:space="0" w:color="auto"/>
            <w:left w:val="none" w:sz="0" w:space="0" w:color="auto"/>
            <w:bottom w:val="none" w:sz="0" w:space="0" w:color="auto"/>
            <w:right w:val="none" w:sz="0" w:space="0" w:color="auto"/>
          </w:divBdr>
        </w:div>
        <w:div w:id="1613439582">
          <w:marLeft w:val="0"/>
          <w:marRight w:val="0"/>
          <w:marTop w:val="0"/>
          <w:marBottom w:val="0"/>
          <w:divBdr>
            <w:top w:val="none" w:sz="0" w:space="0" w:color="auto"/>
            <w:left w:val="none" w:sz="0" w:space="0" w:color="auto"/>
            <w:bottom w:val="none" w:sz="0" w:space="0" w:color="auto"/>
            <w:right w:val="none" w:sz="0" w:space="0" w:color="auto"/>
          </w:divBdr>
        </w:div>
        <w:div w:id="171725519">
          <w:marLeft w:val="0"/>
          <w:marRight w:val="0"/>
          <w:marTop w:val="0"/>
          <w:marBottom w:val="0"/>
          <w:divBdr>
            <w:top w:val="none" w:sz="0" w:space="0" w:color="auto"/>
            <w:left w:val="none" w:sz="0" w:space="0" w:color="auto"/>
            <w:bottom w:val="none" w:sz="0" w:space="0" w:color="auto"/>
            <w:right w:val="none" w:sz="0" w:space="0" w:color="auto"/>
          </w:divBdr>
        </w:div>
        <w:div w:id="1770083293">
          <w:marLeft w:val="0"/>
          <w:marRight w:val="0"/>
          <w:marTop w:val="0"/>
          <w:marBottom w:val="0"/>
          <w:divBdr>
            <w:top w:val="none" w:sz="0" w:space="0" w:color="auto"/>
            <w:left w:val="none" w:sz="0" w:space="0" w:color="auto"/>
            <w:bottom w:val="none" w:sz="0" w:space="0" w:color="auto"/>
            <w:right w:val="none" w:sz="0" w:space="0" w:color="auto"/>
          </w:divBdr>
        </w:div>
        <w:div w:id="1822622557">
          <w:marLeft w:val="0"/>
          <w:marRight w:val="0"/>
          <w:marTop w:val="0"/>
          <w:marBottom w:val="0"/>
          <w:divBdr>
            <w:top w:val="none" w:sz="0" w:space="0" w:color="auto"/>
            <w:left w:val="none" w:sz="0" w:space="0" w:color="auto"/>
            <w:bottom w:val="none" w:sz="0" w:space="0" w:color="auto"/>
            <w:right w:val="none" w:sz="0" w:space="0" w:color="auto"/>
          </w:divBdr>
        </w:div>
        <w:div w:id="78452149">
          <w:marLeft w:val="0"/>
          <w:marRight w:val="0"/>
          <w:marTop w:val="0"/>
          <w:marBottom w:val="0"/>
          <w:divBdr>
            <w:top w:val="none" w:sz="0" w:space="0" w:color="auto"/>
            <w:left w:val="none" w:sz="0" w:space="0" w:color="auto"/>
            <w:bottom w:val="none" w:sz="0" w:space="0" w:color="auto"/>
            <w:right w:val="none" w:sz="0" w:space="0" w:color="auto"/>
          </w:divBdr>
        </w:div>
        <w:div w:id="1061905981">
          <w:marLeft w:val="0"/>
          <w:marRight w:val="0"/>
          <w:marTop w:val="0"/>
          <w:marBottom w:val="0"/>
          <w:divBdr>
            <w:top w:val="none" w:sz="0" w:space="0" w:color="auto"/>
            <w:left w:val="none" w:sz="0" w:space="0" w:color="auto"/>
            <w:bottom w:val="none" w:sz="0" w:space="0" w:color="auto"/>
            <w:right w:val="none" w:sz="0" w:space="0" w:color="auto"/>
          </w:divBdr>
        </w:div>
        <w:div w:id="1759132033">
          <w:marLeft w:val="0"/>
          <w:marRight w:val="0"/>
          <w:marTop w:val="0"/>
          <w:marBottom w:val="0"/>
          <w:divBdr>
            <w:top w:val="none" w:sz="0" w:space="0" w:color="auto"/>
            <w:left w:val="none" w:sz="0" w:space="0" w:color="auto"/>
            <w:bottom w:val="none" w:sz="0" w:space="0" w:color="auto"/>
            <w:right w:val="none" w:sz="0" w:space="0" w:color="auto"/>
          </w:divBdr>
        </w:div>
      </w:divsChild>
    </w:div>
    <w:div w:id="1040713776">
      <w:bodyDiv w:val="1"/>
      <w:marLeft w:val="0"/>
      <w:marRight w:val="0"/>
      <w:marTop w:val="0"/>
      <w:marBottom w:val="0"/>
      <w:divBdr>
        <w:top w:val="none" w:sz="0" w:space="0" w:color="auto"/>
        <w:left w:val="none" w:sz="0" w:space="0" w:color="auto"/>
        <w:bottom w:val="none" w:sz="0" w:space="0" w:color="auto"/>
        <w:right w:val="none" w:sz="0" w:space="0" w:color="auto"/>
      </w:divBdr>
      <w:divsChild>
        <w:div w:id="162356817">
          <w:marLeft w:val="0"/>
          <w:marRight w:val="0"/>
          <w:marTop w:val="0"/>
          <w:marBottom w:val="0"/>
          <w:divBdr>
            <w:top w:val="none" w:sz="0" w:space="0" w:color="auto"/>
            <w:left w:val="none" w:sz="0" w:space="0" w:color="auto"/>
            <w:bottom w:val="none" w:sz="0" w:space="0" w:color="auto"/>
            <w:right w:val="none" w:sz="0" w:space="0" w:color="auto"/>
          </w:divBdr>
        </w:div>
        <w:div w:id="1937249851">
          <w:marLeft w:val="0"/>
          <w:marRight w:val="0"/>
          <w:marTop w:val="0"/>
          <w:marBottom w:val="0"/>
          <w:divBdr>
            <w:top w:val="none" w:sz="0" w:space="0" w:color="auto"/>
            <w:left w:val="none" w:sz="0" w:space="0" w:color="auto"/>
            <w:bottom w:val="none" w:sz="0" w:space="0" w:color="auto"/>
            <w:right w:val="none" w:sz="0" w:space="0" w:color="auto"/>
          </w:divBdr>
        </w:div>
        <w:div w:id="19334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832BF016FDB04B8ED6EECDE542695B" ma:contentTypeVersion="4" ma:contentTypeDescription="Create a new document." ma:contentTypeScope="" ma:versionID="f0dd632f3fca40cec9ec7319c1e9395c">
  <xsd:schema xmlns:xsd="http://www.w3.org/2001/XMLSchema" xmlns:xs="http://www.w3.org/2001/XMLSchema" xmlns:p="http://schemas.microsoft.com/office/2006/metadata/properties" xmlns:ns2="71625103-e6ac-47c0-987c-3b0f883640d7" targetNamespace="http://schemas.microsoft.com/office/2006/metadata/properties" ma:root="true" ma:fieldsID="081e552b550eb17e096571334527b501" ns2:_="">
    <xsd:import namespace="71625103-e6ac-47c0-987c-3b0f88364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25103-e6ac-47c0-987c-3b0f8836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E67F8-36AC-470A-BCA9-DBB5E3A108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061A2D-FD47-4E68-B377-F649B1EB6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25103-e6ac-47c0-987c-3b0f88364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1D8BA4-1143-4E32-92B2-028D66ADD1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Jordan - THS</dc:creator>
  <cp:keywords/>
  <dc:description/>
  <cp:lastModifiedBy>R Taylor - THS</cp:lastModifiedBy>
  <cp:revision>19</cp:revision>
  <dcterms:created xsi:type="dcterms:W3CDTF">2021-06-08T12:56:00Z</dcterms:created>
  <dcterms:modified xsi:type="dcterms:W3CDTF">2022-09-11T15:00:00Z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0x0101000D832BF016FDB04B8ED6EECDE542695B</vt:lpwstr>
  </property>
</Properties>
</file>